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98" w:rsidRPr="009B5915" w:rsidRDefault="00794898" w:rsidP="00794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C438ED">
        <w:rPr>
          <w:rFonts w:ascii="Times New Roman" w:hAnsi="Times New Roman" w:cs="Times New Roman"/>
          <w:b/>
          <w:sz w:val="24"/>
          <w:szCs w:val="24"/>
        </w:rPr>
        <w:t xml:space="preserve">научных </w:t>
      </w:r>
      <w:r w:rsidRPr="009B5915">
        <w:rPr>
          <w:rFonts w:ascii="Times New Roman" w:hAnsi="Times New Roman" w:cs="Times New Roman"/>
          <w:b/>
          <w:sz w:val="24"/>
          <w:szCs w:val="24"/>
        </w:rPr>
        <w:t>трудов</w:t>
      </w:r>
    </w:p>
    <w:p w:rsidR="0097485F" w:rsidRPr="009B5915" w:rsidRDefault="00794898" w:rsidP="00794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5915">
        <w:rPr>
          <w:rFonts w:ascii="Times New Roman" w:hAnsi="Times New Roman" w:cs="Times New Roman"/>
          <w:b/>
          <w:sz w:val="24"/>
          <w:szCs w:val="24"/>
        </w:rPr>
        <w:t>Алимжановой</w:t>
      </w:r>
      <w:proofErr w:type="spellEnd"/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15">
        <w:rPr>
          <w:rFonts w:ascii="Times New Roman" w:hAnsi="Times New Roman" w:cs="Times New Roman"/>
          <w:b/>
          <w:sz w:val="24"/>
          <w:szCs w:val="24"/>
        </w:rPr>
        <w:t>Алии</w:t>
      </w:r>
      <w:proofErr w:type="spellEnd"/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15">
        <w:rPr>
          <w:rFonts w:ascii="Times New Roman" w:hAnsi="Times New Roman" w:cs="Times New Roman"/>
          <w:b/>
          <w:sz w:val="24"/>
          <w:szCs w:val="24"/>
        </w:rPr>
        <w:t>Маргулановны</w:t>
      </w:r>
      <w:proofErr w:type="spellEnd"/>
    </w:p>
    <w:tbl>
      <w:tblPr>
        <w:tblStyle w:val="a3"/>
        <w:tblW w:w="10006" w:type="dxa"/>
        <w:tblInd w:w="-431" w:type="dxa"/>
        <w:tblLook w:val="04A0" w:firstRow="1" w:lastRow="0" w:firstColumn="1" w:lastColumn="0" w:noHBand="0" w:noVBand="1"/>
      </w:tblPr>
      <w:tblGrid>
        <w:gridCol w:w="336"/>
        <w:gridCol w:w="9670"/>
      </w:tblGrid>
      <w:tr w:rsidR="00794898" w:rsidRPr="009B5915" w:rsidTr="009B5915">
        <w:tc>
          <w:tcPr>
            <w:tcW w:w="10006" w:type="dxa"/>
            <w:gridSpan w:val="2"/>
          </w:tcPr>
          <w:p w:rsidR="00794898" w:rsidRPr="00C438ED" w:rsidRDefault="00065A21" w:rsidP="00592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Статьи в международных  рецензи</w:t>
            </w:r>
            <w:r w:rsidR="0086344D"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руемых научных журналах, </w:t>
            </w:r>
            <w:r w:rsidR="00C43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входящих во 2 квартиль по данным </w:t>
            </w:r>
            <w:r w:rsidR="00C438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JCR</w:t>
            </w:r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8ED" w:rsidRPr="00C43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4898"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="00794898"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4898"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="00794898"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4898"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  <w:proofErr w:type="spellEnd"/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(Веб оф </w:t>
            </w:r>
            <w:proofErr w:type="spellStart"/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Сайенс</w:t>
            </w:r>
            <w:proofErr w:type="spellEnd"/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94898" w:rsidRPr="005962DE" w:rsidTr="009B5915">
        <w:tc>
          <w:tcPr>
            <w:tcW w:w="336" w:type="dxa"/>
          </w:tcPr>
          <w:p w:rsidR="00794898" w:rsidRPr="009B5915" w:rsidRDefault="00794898" w:rsidP="0079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70" w:type="dxa"/>
          </w:tcPr>
          <w:p w:rsidR="00794898" w:rsidRPr="009B5915" w:rsidRDefault="009D05CD" w:rsidP="005962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r w:rsidRPr="009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Terlikbaeva A. Zh., Alimzhanova A. M., Eremeeva Zh., Mukhametzhanova A. A., Maldybaev G. K., Shayakhmetova R. A., Abedi M., Moskovskikh D.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Synthesis and sintering of tungsten and titanium carbide: a parametric study // Metals. – 2022</w:t>
            </w:r>
            <w:r w:rsidR="00C438ED" w:rsidRPr="005962D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–</w:t>
            </w:r>
            <w:r w:rsidR="00C438ED" w:rsidRPr="00C438E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5962DE"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</w:t>
            </w:r>
            <w:r w:rsidR="005962DE" w:rsidRP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C438ED" w:rsidRPr="00C438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12</w:t>
            </w:r>
            <w:r w:rsidR="00596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. – № </w:t>
            </w:r>
            <w:r w:rsidR="0059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12. – </w:t>
            </w:r>
            <w:r w:rsidR="00C438ED" w:rsidRPr="00C43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2144.</w:t>
            </w:r>
            <w:r w:rsidR="00C438ED" w:rsidRPr="005962D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– (Q2, WoS)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43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по категории </w:t>
            </w:r>
            <w:r w:rsidR="005962DE" w:rsidRPr="0059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Metallurgy &amp; Metallurgical Engineering</w:t>
            </w:r>
            <w:r w:rsidR="00C438ED" w:rsidRPr="005962DE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5962DE" w:rsidRPr="005962DE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 w:rsidR="00C438ED" w:rsidRPr="005962DE">
              <w:rPr>
                <w:rFonts w:ascii="Arial" w:hAnsi="Arial" w:cs="Arial"/>
                <w:color w:val="2E2E2E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hyperlink r:id="rId4" w:history="1">
              <w:r w:rsidR="00794898" w:rsidRPr="007A6B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</w:hyperlink>
            <w:hyperlink r:id="rId5" w:history="1">
              <w:r w:rsidR="00794898" w:rsidRPr="005962D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://</w:t>
              </w:r>
            </w:hyperlink>
            <w:hyperlink r:id="rId6" w:history="1">
              <w:r w:rsidR="00794898" w:rsidRPr="007A6B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doi</w:t>
              </w:r>
            </w:hyperlink>
            <w:hyperlink r:id="rId7" w:history="1">
              <w:r w:rsidR="00794898" w:rsidRPr="005962D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.</w:t>
              </w:r>
            </w:hyperlink>
            <w:hyperlink r:id="rId8" w:history="1">
              <w:r w:rsidR="00794898" w:rsidRPr="007A6B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org</w:t>
              </w:r>
            </w:hyperlink>
            <w:hyperlink r:id="rId9" w:history="1">
              <w:r w:rsidR="00794898" w:rsidRPr="007A6B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/10.3390/</w:t>
              </w:r>
            </w:hyperlink>
            <w:hyperlink r:id="rId10" w:history="1">
              <w:r w:rsidR="00794898" w:rsidRPr="007A6B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met</w:t>
              </w:r>
            </w:hyperlink>
            <w:hyperlink r:id="rId11" w:history="1">
              <w:r w:rsidR="00794898" w:rsidRPr="007A6B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12122144</w:t>
              </w:r>
            </w:hyperlink>
          </w:p>
        </w:tc>
      </w:tr>
      <w:tr w:rsidR="00794898" w:rsidRPr="009B5915" w:rsidTr="009B5915">
        <w:tc>
          <w:tcPr>
            <w:tcW w:w="10006" w:type="dxa"/>
            <w:gridSpan w:val="2"/>
          </w:tcPr>
          <w:p w:rsidR="00794898" w:rsidRPr="009B5915" w:rsidRDefault="00794898" w:rsidP="008F5A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Статьи в международных  рецензируемых научных журналах, имеющи</w:t>
            </w:r>
            <w:r w:rsidR="008F5A75"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в </w:t>
            </w:r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базе данных </w:t>
            </w:r>
            <w:proofErr w:type="spellStart"/>
            <w:r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</w:t>
            </w:r>
            <w:proofErr w:type="spellEnd"/>
            <w:r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Скопус</w:t>
            </w:r>
            <w:proofErr w:type="spellEnd"/>
            <w:r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="00065A21"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процентиль</w:t>
            </w:r>
            <w:proofErr w:type="spellEnd"/>
            <w:r w:rsidR="008F5A75"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88</w:t>
            </w:r>
            <w:r w:rsidR="00065A21"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="00065A21"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CiteScore</w:t>
            </w:r>
            <w:proofErr w:type="spellEnd"/>
            <w:r w:rsidR="00065A21"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065A21"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Саит</w:t>
            </w:r>
            <w:proofErr w:type="spellEnd"/>
            <w:r w:rsidR="00065A21" w:rsidRPr="009B5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Скор) </w:t>
            </w:r>
          </w:p>
        </w:tc>
      </w:tr>
      <w:tr w:rsidR="00794898" w:rsidRPr="005962DE" w:rsidTr="009B5915">
        <w:tc>
          <w:tcPr>
            <w:tcW w:w="336" w:type="dxa"/>
          </w:tcPr>
          <w:p w:rsidR="00794898" w:rsidRPr="009B5915" w:rsidRDefault="00794898" w:rsidP="0079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70" w:type="dxa"/>
          </w:tcPr>
          <w:p w:rsidR="00794898" w:rsidRPr="008627C0" w:rsidRDefault="009D05CD" w:rsidP="005962DE">
            <w:pPr>
              <w:suppressAutoHyphens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en-US" w:eastAsia="ar-SA"/>
              </w:rPr>
            </w:pPr>
            <w:proofErr w:type="spellStart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Terlikbaeva</w:t>
            </w:r>
            <w:proofErr w:type="spellEnd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A. </w:t>
            </w:r>
            <w:proofErr w:type="spellStart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Zh</w:t>
            </w:r>
            <w:proofErr w:type="spellEnd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., </w:t>
            </w:r>
            <w:proofErr w:type="spellStart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Alimzhanova</w:t>
            </w:r>
            <w:proofErr w:type="spellEnd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A. M., </w:t>
            </w:r>
            <w:proofErr w:type="spellStart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Maldybayev</w:t>
            </w:r>
            <w:proofErr w:type="spellEnd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G. K., </w:t>
            </w:r>
            <w:proofErr w:type="spellStart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Mukhametzhanova</w:t>
            </w:r>
            <w:proofErr w:type="spellEnd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A. A., </w:t>
            </w:r>
            <w:proofErr w:type="spellStart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Shayakhmetova</w:t>
            </w:r>
            <w:proofErr w:type="spellEnd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R. A., </w:t>
            </w:r>
            <w:proofErr w:type="spellStart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Koishina</w:t>
            </w:r>
            <w:proofErr w:type="spellEnd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G. M., </w:t>
            </w:r>
            <w:proofErr w:type="spellStart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Zharmenov</w:t>
            </w:r>
            <w:proofErr w:type="spellEnd"/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A. A. The influence of zirconium addition on the structure and properties of Ti-2.5Al-5V-5Mo alloy sheets // Case Studies in Chemical and Environmental Engineering. – 2024. </w:t>
            </w:r>
            <w:r w:rsidR="008627C0" w:rsidRP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- </w:t>
            </w:r>
            <w:r w:rsidR="008627C0"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Vol. 31</w:t>
            </w:r>
            <w:r w:rsidR="008627C0" w:rsidRPr="008627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5962DE" w:rsidRP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– </w:t>
            </w:r>
            <w:r w:rsidR="008627C0" w:rsidRPr="00961A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100964. – </w:t>
            </w:r>
            <w:r w:rsid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Scopus, 88 percentile</w:t>
            </w:r>
            <w:r w:rsidR="008627C0" w:rsidRP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</w:t>
            </w:r>
            <w:r w:rsid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по</w:t>
            </w:r>
            <w:r w:rsidR="008627C0" w:rsidRP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</w:t>
            </w:r>
            <w:r w:rsid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категории</w:t>
            </w:r>
            <w:r w:rsidR="008627C0" w:rsidRP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Engineering (miscellaneous)</w:t>
            </w:r>
            <w:r w:rsidR="005962DE" w:rsidRPr="0059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.</w:t>
            </w:r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– </w:t>
            </w:r>
            <w:hyperlink r:id="rId12" w:history="1">
              <w:r w:rsidRPr="007A6BC9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ar-SA"/>
                </w:rPr>
                <w:t>https://doi.org/10.1016/j.cscee.2024.100964</w:t>
              </w:r>
            </w:hyperlink>
            <w:r w:rsidR="00C4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</w:t>
            </w:r>
          </w:p>
        </w:tc>
      </w:tr>
      <w:tr w:rsidR="00434233" w:rsidRPr="009B5915" w:rsidTr="009B5915">
        <w:tc>
          <w:tcPr>
            <w:tcW w:w="10006" w:type="dxa"/>
            <w:gridSpan w:val="2"/>
          </w:tcPr>
          <w:p w:rsidR="00434233" w:rsidRPr="009B5915" w:rsidRDefault="00434233" w:rsidP="0004615C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9B5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статьи, опубликованные в международных рецензируемых журналах, заменяющие </w:t>
            </w:r>
            <w:r w:rsidR="00046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9B5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статьей в </w:t>
            </w:r>
            <w:proofErr w:type="spellStart"/>
            <w:r w:rsidR="009C2CD3" w:rsidRPr="009C2C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рекоменд</w:t>
            </w:r>
            <w:proofErr w:type="spellEnd"/>
            <w:r w:rsidR="009C2CD3" w:rsidRPr="009C2CD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ованных</w:t>
            </w:r>
            <w:r w:rsidR="009C2CD3" w:rsidRPr="009C2C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Комитетом по обеспечению качества в сфере науки и высшего образования МНВО РК</w:t>
            </w:r>
          </w:p>
        </w:tc>
      </w:tr>
      <w:tr w:rsidR="00434233" w:rsidRPr="005962DE" w:rsidTr="009B5915">
        <w:tc>
          <w:tcPr>
            <w:tcW w:w="336" w:type="dxa"/>
          </w:tcPr>
          <w:p w:rsidR="00434233" w:rsidRPr="009B5915" w:rsidRDefault="00434233" w:rsidP="00C1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670" w:type="dxa"/>
          </w:tcPr>
          <w:p w:rsidR="00434233" w:rsidRPr="009D05CD" w:rsidRDefault="009D05CD" w:rsidP="00C15B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Seidakhmetova</w:t>
            </w:r>
            <w:proofErr w:type="spellEnd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Zhumakynbai</w:t>
            </w:r>
            <w:proofErr w:type="spellEnd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Akhmetov</w:t>
            </w:r>
            <w:proofErr w:type="spellEnd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Ondiris</w:t>
            </w:r>
            <w:proofErr w:type="spellEnd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Alimzhanova</w:t>
            </w:r>
            <w:proofErr w:type="spellEnd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 M., </w:t>
            </w:r>
            <w:proofErr w:type="spellStart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Berdikulova</w:t>
            </w:r>
            <w:proofErr w:type="spellEnd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F. Study of the production of vanadium electrolytes from ammonium </w:t>
            </w:r>
            <w:proofErr w:type="spellStart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metavanadate</w:t>
            </w:r>
            <w:proofErr w:type="spellEnd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 </w:t>
            </w:r>
            <w:proofErr w:type="spellStart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Acta</w:t>
            </w:r>
            <w:proofErr w:type="spellEnd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</w:t>
            </w:r>
            <w:r w:rsidR="00961A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lurgica</w:t>
            </w:r>
            <w:proofErr w:type="spellEnd"/>
            <w:r w:rsidR="00961A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1A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Slovaca</w:t>
            </w:r>
            <w:proofErr w:type="spellEnd"/>
            <w:r w:rsidR="00961A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– 2025. – Vol.</w:t>
            </w:r>
            <w:r w:rsidR="005962DE" w:rsidRP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  <w:r w:rsidR="005962DE" w:rsidRP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–</w:t>
            </w:r>
            <w:r w:rsidR="00961A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№</w:t>
            </w:r>
            <w:r w:rsidR="005962DE" w:rsidRP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961A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–</w:t>
            </w:r>
            <w:r w:rsidR="005962DE" w:rsidRP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P. 200–206. – DOI: </w:t>
            </w:r>
            <w:hyperlink r:id="rId13" w:history="1">
              <w:r w:rsidRPr="007A6BC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u w:val="none"/>
                  <w:lang w:val="en-US"/>
                </w:rPr>
                <w:t>https://doi.org/10.36547/ams.31.3.2238</w:t>
              </w:r>
            </w:hyperlink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(Scopus, </w:t>
            </w:r>
            <w:r w:rsidRPr="007A6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52</w:t>
            </w:r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percentile</w:t>
            </w:r>
            <w:r w:rsidR="000A2D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 по категории </w:t>
            </w:r>
            <w:r w:rsidR="000A2DF6" w:rsidRPr="000A2D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Metals and  Alloys</w:t>
            </w:r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)</w:t>
            </w:r>
          </w:p>
        </w:tc>
      </w:tr>
      <w:tr w:rsidR="00434233" w:rsidRPr="005962DE" w:rsidTr="009B5915">
        <w:tc>
          <w:tcPr>
            <w:tcW w:w="336" w:type="dxa"/>
          </w:tcPr>
          <w:p w:rsidR="00434233" w:rsidRPr="009B5915" w:rsidRDefault="00434233" w:rsidP="00C1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670" w:type="dxa"/>
          </w:tcPr>
          <w:p w:rsidR="00434233" w:rsidRPr="009D05CD" w:rsidRDefault="009D05CD" w:rsidP="005962DE">
            <w:pPr>
              <w:pBdr>
                <w:bottom w:val="single" w:sz="6" w:space="6" w:color="DCDCDC"/>
              </w:pBd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</w:pPr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>Shayakhmetova R. A., Mukhametzhanova A. A., Akbayeva D. N., Terlikbaeva A. Zh., Osipov P. A., Alimzhanova A. M., Zharmenov A. A.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 </w:t>
            </w:r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Magnesium and silicon recovery from chrysotile asbestos waste of the deposit Zhitikara, Kazakhstan // Scientific Reports. – 2024. </w:t>
            </w:r>
            <w:r w:rsid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– </w:t>
            </w:r>
            <w:r w:rsidR="0059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№ </w:t>
            </w:r>
            <w:r w:rsidR="008627C0" w:rsidRP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>14</w:t>
            </w:r>
            <w:r w:rsidR="0059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. – </w:t>
            </w:r>
            <w:r w:rsidR="008627C0" w:rsidRP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>31866</w:t>
            </w:r>
            <w:r w:rsid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. </w:t>
            </w:r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>–</w:t>
            </w:r>
            <w:r w:rsidRPr="0059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fldChar w:fldCharType="begin"/>
            </w:r>
            <w:r w:rsidRPr="0059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instrText xml:space="preserve"> HYPERLINK "https://doi.org/10.1038/s41598-024-83239-0" </w:instrText>
            </w:r>
            <w:r w:rsidRPr="0059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fldChar w:fldCharType="separate"/>
            </w:r>
            <w:r w:rsidRPr="005962DE">
              <w:rPr>
                <w:rStyle w:val="a4"/>
                <w:rFonts w:ascii="Times New Roman" w:eastAsia="Calibri" w:hAnsi="Times New Roman" w:cs="Times New Roman"/>
                <w:sz w:val="24"/>
                <w:szCs w:val="24"/>
                <w:u w:val="none"/>
                <w:shd w:val="clear" w:color="auto" w:fill="FFFFFF"/>
                <w:lang w:val="kk-KZ" w:eastAsia="x-none"/>
              </w:rPr>
              <w:t>https://doi.org/10.1038/s41598-024-83239-0</w:t>
            </w:r>
            <w:r w:rsidRPr="0059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fldChar w:fldCharType="end"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 . </w:t>
            </w:r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>(Q1, WoS</w:t>
            </w:r>
            <w:r w:rsidR="000A2D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 по категории </w:t>
            </w:r>
            <w:r w:rsidR="000A2DF6" w:rsidRPr="000A2D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Multidisciplinary Sciences</w:t>
            </w:r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>)</w:t>
            </w:r>
          </w:p>
        </w:tc>
      </w:tr>
      <w:tr w:rsidR="00434233" w:rsidRPr="00592671" w:rsidTr="009B5915">
        <w:tc>
          <w:tcPr>
            <w:tcW w:w="336" w:type="dxa"/>
          </w:tcPr>
          <w:p w:rsidR="00434233" w:rsidRPr="009B5915" w:rsidRDefault="00434233" w:rsidP="00C1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670" w:type="dxa"/>
          </w:tcPr>
          <w:p w:rsidR="00434233" w:rsidRPr="009D05CD" w:rsidRDefault="009D05CD" w:rsidP="00FA2B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Maldybayev G. K., Korabayev A., Al Azzam K. M., Negim E.-S., Baigenzhenov O., Alimzhanova A. M., Panigrahi M., Shayakhmetova R. 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Processing of titanium-containing ores for the production of titanium products: a comprehensive review // Heliyon. – 2024. – Vol. 10.</w:t>
            </w:r>
            <w:r w:rsidR="008627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8627C0" w:rsidRPr="008627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e24966</w:t>
            </w:r>
            <w:r w:rsidR="008627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FA2B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Pr="002B1B4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https://doi.org/10.1016/j.heliyon.2024.e24966</w:t>
              </w:r>
            </w:hyperlink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(Scopus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80 </w:t>
            </w:r>
            <w:r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percentile</w:t>
            </w:r>
            <w:r w:rsidR="000A2DF6" w:rsidRPr="00592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</w:t>
            </w:r>
            <w:r w:rsidR="000A2D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по</w:t>
            </w:r>
            <w:r w:rsidR="000A2DF6" w:rsidRPr="00592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</w:t>
            </w:r>
            <w:r w:rsidR="000A2D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категории</w:t>
            </w:r>
            <w:r w:rsidR="00592671" w:rsidRPr="00592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  </w:t>
            </w:r>
            <w:r w:rsidR="00592671" w:rsidRPr="005926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Multidisciplinary</w:t>
            </w:r>
            <w:r w:rsidRPr="009D05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</w:tr>
      <w:tr w:rsidR="00434233" w:rsidRPr="005962DE" w:rsidTr="009B5915">
        <w:tc>
          <w:tcPr>
            <w:tcW w:w="336" w:type="dxa"/>
          </w:tcPr>
          <w:p w:rsidR="00434233" w:rsidRPr="009B5915" w:rsidRDefault="00434233" w:rsidP="00C1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670" w:type="dxa"/>
          </w:tcPr>
          <w:p w:rsidR="00434233" w:rsidRPr="007A6BC9" w:rsidRDefault="009D05CD" w:rsidP="007A6BC9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A6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>Shayakhmetova R. A., Alimzhanova A. M., Terlikbaeva A. Zh., Osipov P. A.</w:t>
            </w:r>
            <w:r w:rsidR="007A6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 </w:t>
            </w:r>
            <w:r w:rsidRPr="007A6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Study of the effect of rhenium on heat-resistant titanium alloy mechanical properties and microstructure // </w:t>
            </w:r>
            <w:r w:rsidR="0059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Metallurgist. – 2021. – Vol. 64. </w:t>
            </w:r>
            <w:r w:rsid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–</w:t>
            </w:r>
            <w:r w:rsidRPr="007A6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 № 11–12. – P. 1322–1330.</w:t>
            </w:r>
            <w:r w:rsidRPr="009D05CD">
              <w:rPr>
                <w:lang w:val="en-US"/>
              </w:rPr>
              <w:t xml:space="preserve"> – </w:t>
            </w:r>
            <w:hyperlink r:id="rId15" w:history="1">
              <w:r w:rsidR="007A6BC9" w:rsidRPr="007A6BC9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  <w:u w:val="none"/>
                  <w:lang w:val="en-US"/>
                </w:rPr>
                <w:t>https://doi.org/10.1007/s11015-021-01122-z</w:t>
              </w:r>
            </w:hyperlink>
            <w:r w:rsidR="007A6BC9" w:rsidRPr="007A6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7A6BC9" w:rsidRPr="009D05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(Scopus</w:t>
            </w:r>
            <w:r w:rsidR="007A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45 </w:t>
            </w:r>
            <w:r w:rsidR="007A6BC9" w:rsidRPr="009D0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percentile</w:t>
            </w:r>
            <w:r w:rsidR="00592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 по категории </w:t>
            </w:r>
            <w:r w:rsidR="00592671" w:rsidRPr="005926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>Metals and Alloys</w:t>
            </w:r>
            <w:r w:rsidR="00592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 </w:t>
            </w:r>
            <w:r w:rsidR="007A6BC9" w:rsidRPr="009D05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</w:tr>
      <w:tr w:rsidR="00065A21" w:rsidRPr="009B5915" w:rsidTr="009B5915">
        <w:tc>
          <w:tcPr>
            <w:tcW w:w="10006" w:type="dxa"/>
            <w:gridSpan w:val="2"/>
          </w:tcPr>
          <w:p w:rsidR="00065A21" w:rsidRPr="009B5915" w:rsidRDefault="00065A21" w:rsidP="0086344D">
            <w:pPr>
              <w:tabs>
                <w:tab w:val="left" w:pos="11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Статьи в изданиях, </w:t>
            </w:r>
            <w:proofErr w:type="spellStart"/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</w:t>
            </w:r>
            <w:proofErr w:type="spellEnd"/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ованных</w:t>
            </w:r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Комитетом по обеспечению качества в сфере науки и высшего образования МНВО РК</w:t>
            </w:r>
          </w:p>
        </w:tc>
      </w:tr>
      <w:tr w:rsidR="00065A21" w:rsidRPr="009B5915" w:rsidTr="009B5915">
        <w:tc>
          <w:tcPr>
            <w:tcW w:w="336" w:type="dxa"/>
          </w:tcPr>
          <w:p w:rsidR="00065A21" w:rsidRPr="009B5915" w:rsidRDefault="00434233" w:rsidP="0006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670" w:type="dxa"/>
          </w:tcPr>
          <w:p w:rsidR="00065A21" w:rsidRPr="007A6BC9" w:rsidRDefault="007A6BC9" w:rsidP="005962DE">
            <w:pPr>
              <w:tabs>
                <w:tab w:val="num" w:pos="0"/>
                <w:tab w:val="left" w:pos="2713"/>
              </w:tabs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Терликбаева</w:t>
            </w:r>
            <w:proofErr w:type="spellEnd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А. Ж., </w:t>
            </w:r>
            <w:proofErr w:type="spellStart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Алимжанова</w:t>
            </w:r>
            <w:proofErr w:type="spellEnd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А. М., Шаяхметова Р. А., </w:t>
            </w:r>
            <w:proofErr w:type="spellStart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Мухаметжанова</w:t>
            </w:r>
            <w:proofErr w:type="spellEnd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А. А., </w:t>
            </w:r>
            <w:proofErr w:type="spellStart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Сахова</w:t>
            </w:r>
            <w:proofErr w:type="spellEnd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Б. Т.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Теоретические расчеты и построение фазовых диаграмм многокомпонентной системы </w:t>
            </w:r>
            <w:proofErr w:type="spellStart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Ti</w:t>
            </w:r>
            <w:proofErr w:type="spellEnd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–</w:t>
            </w:r>
            <w:proofErr w:type="spellStart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Al</w:t>
            </w:r>
            <w:proofErr w:type="spellEnd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–</w:t>
            </w:r>
            <w:proofErr w:type="spellStart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</w:t>
            </w:r>
            <w:proofErr w:type="spellEnd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–V–</w:t>
            </w:r>
            <w:proofErr w:type="spellStart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Zr</w:t>
            </w:r>
            <w:proofErr w:type="spellEnd"/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// 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Қазақстан ғылымы мен техникасы.</w:t>
            </w:r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– 2023. – №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4. – С. </w:t>
            </w:r>
            <w:r w:rsidR="0004615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204-215</w:t>
            </w:r>
            <w:r w:rsidRPr="007A6B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–</w:t>
            </w:r>
            <w:hyperlink r:id="rId16" w:history="1">
              <w:r w:rsidRPr="005962D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https://doi.org/10.48081/CTWE8923</w:t>
              </w:r>
            </w:hyperlink>
            <w:r w:rsidR="00592671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. 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(категория: Металлургия, машина </w:t>
            </w:r>
            <w:proofErr w:type="spellStart"/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жасау</w:t>
            </w:r>
            <w:proofErr w:type="spellEnd"/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к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өлік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)</w:t>
            </w:r>
            <w:r w:rsidRPr="00592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A21" w:rsidRPr="00592671" w:rsidTr="009B5915">
        <w:tc>
          <w:tcPr>
            <w:tcW w:w="336" w:type="dxa"/>
          </w:tcPr>
          <w:p w:rsidR="00065A21" w:rsidRPr="009B5915" w:rsidRDefault="00434233" w:rsidP="00434233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670" w:type="dxa"/>
          </w:tcPr>
          <w:p w:rsidR="00065A21" w:rsidRPr="00592671" w:rsidRDefault="00FD7B94" w:rsidP="005962DE">
            <w:pPr>
              <w:pStyle w:val="2"/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Терликбаева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Алимжанова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.,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Шаяхметова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Мухаметжанова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.,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Малдыбаев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Сахова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Куандыкова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Получение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однородных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карбидному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зерну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мелкозернистых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твердых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сплавов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// Engineering Journal of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Satbaye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v</w:t>
            </w:r>
            <w:proofErr w:type="spellEnd"/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University. – 2023. – Vol.145</w:t>
            </w:r>
            <w:r w:rsidR="005962DE" w:rsidRP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="005962DE" w:rsidRPr="0059267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– </w:t>
            </w:r>
            <w:r w:rsidRPr="0059267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№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59267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3. –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P</w:t>
            </w:r>
            <w:r w:rsidRPr="0059267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  <w:r w:rsidR="005962DE" w:rsidRPr="0059267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59267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12–18. –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hyperlink r:id="rId17" w:history="1">
              <w:r w:rsidRPr="005962D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59267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Pr="005962D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doi</w:t>
              </w:r>
              <w:proofErr w:type="spellEnd"/>
              <w:r w:rsidRPr="0059267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Pr="005962D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org</w:t>
              </w:r>
              <w:r w:rsidRPr="0059267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/10.51301/</w:t>
              </w:r>
              <w:proofErr w:type="spellStart"/>
              <w:r w:rsidRPr="005962D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ejsu</w:t>
              </w:r>
              <w:proofErr w:type="spellEnd"/>
              <w:r w:rsidRPr="0059267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.2023.</w:t>
              </w:r>
              <w:proofErr w:type="spellStart"/>
              <w:r w:rsidRPr="005962D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i</w:t>
              </w:r>
              <w:proofErr w:type="spellEnd"/>
              <w:r w:rsidRPr="0059267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3/02</w:t>
              </w:r>
            </w:hyperlink>
            <w:r w:rsidR="00592671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kk-KZ"/>
              </w:rPr>
              <w:t xml:space="preserve">. 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Категория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Жер туралы ғылымдар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)</w:t>
            </w:r>
            <w:r w:rsidRPr="00592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65A21" w:rsidRPr="005962DE" w:rsidTr="009B5915">
        <w:tc>
          <w:tcPr>
            <w:tcW w:w="336" w:type="dxa"/>
          </w:tcPr>
          <w:p w:rsidR="00065A21" w:rsidRPr="009B5915" w:rsidRDefault="00434233" w:rsidP="0006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9670" w:type="dxa"/>
          </w:tcPr>
          <w:p w:rsidR="00065A21" w:rsidRPr="00592671" w:rsidRDefault="00FD7B94" w:rsidP="005962DE">
            <w:pPr>
              <w:pStyle w:val="2"/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Alimzhanova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A. M.,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Terlikbaeva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Zh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Sakhova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B. T.,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Shayakhmetova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R. A.,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Koishina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G. M.,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Mukhametzhanov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A. A.,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Maldybaev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G. K. The role of zirconium in the formation of structure and properties of titanium alloys during superplastic deformation // Engineering Journal of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Satbayev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University. – 2025. – Vol.</w:t>
            </w:r>
            <w:r w:rsidR="005962DE" w:rsidRP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147</w:t>
            </w:r>
            <w:r w:rsidR="005962DE" w:rsidRP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 </w:t>
            </w:r>
            <w:r w:rsidR="005962DE"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–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№</w:t>
            </w:r>
            <w:r w:rsidR="00FA2BDB" w:rsidRPr="00FA2BDB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2. – P.</w:t>
            </w:r>
            <w:r w:rsidR="005962DE" w:rsidRP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1–9. –</w:t>
            </w:r>
            <w:r w:rsidR="005962DE" w:rsidRP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5962D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https://doi.org/10.51301/ejsu.2025.i2.01</w:t>
              </w:r>
            </w:hyperlink>
            <w:r w:rsidR="00592671" w:rsidRPr="00592671">
              <w:rPr>
                <w:color w:val="212529"/>
                <w:lang w:val="en-US"/>
              </w:rPr>
              <w:t xml:space="preserve">. 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Категория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Жер туралы ғылымдар</w:t>
            </w:r>
            <w:r w:rsidR="00592671" w:rsidRPr="0059267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)</w:t>
            </w:r>
          </w:p>
        </w:tc>
      </w:tr>
      <w:tr w:rsidR="00575926" w:rsidRPr="009B5915" w:rsidTr="009B5915">
        <w:tc>
          <w:tcPr>
            <w:tcW w:w="10006" w:type="dxa"/>
            <w:gridSpan w:val="2"/>
          </w:tcPr>
          <w:p w:rsidR="00575926" w:rsidRPr="0004615C" w:rsidRDefault="0004615C" w:rsidP="00434233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04615C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Патент на изобретение</w:t>
            </w:r>
            <w:r w:rsidR="005962DE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,</w:t>
            </w:r>
            <w:r w:rsidRPr="0004615C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 xml:space="preserve"> </w:t>
            </w:r>
            <w:r w:rsidRPr="00046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заменяющий 1 статью в </w:t>
            </w:r>
            <w:r w:rsidRPr="0004615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изданиях, </w:t>
            </w:r>
            <w:proofErr w:type="spellStart"/>
            <w:r w:rsidRPr="0004615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рекоменд</w:t>
            </w:r>
            <w:proofErr w:type="spellEnd"/>
            <w:r w:rsidRPr="0004615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ованных</w:t>
            </w:r>
            <w:r w:rsidRPr="0004615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Комитетом по обеспечению качества в сфере науки и высшего образования МНВО РК</w:t>
            </w:r>
          </w:p>
        </w:tc>
      </w:tr>
      <w:tr w:rsidR="00575926" w:rsidRPr="009B5915" w:rsidTr="009B5915">
        <w:tc>
          <w:tcPr>
            <w:tcW w:w="336" w:type="dxa"/>
          </w:tcPr>
          <w:p w:rsidR="00575926" w:rsidRPr="009B5915" w:rsidRDefault="00434233" w:rsidP="00434233">
            <w:pPr>
              <w:ind w:left="-120" w:right="-2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670" w:type="dxa"/>
          </w:tcPr>
          <w:p w:rsidR="00575926" w:rsidRPr="00FD7B94" w:rsidRDefault="0004615C" w:rsidP="0004615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Способ получения адсорбента для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деметализации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нефтяных остатков. Патент на изобретение №38105 от 26.06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.2026,бюл.№25., МПК 2025/0376.1</w:t>
            </w:r>
          </w:p>
        </w:tc>
      </w:tr>
      <w:tr w:rsidR="00575926" w:rsidRPr="009B5915" w:rsidTr="009B5915">
        <w:tc>
          <w:tcPr>
            <w:tcW w:w="10006" w:type="dxa"/>
            <w:gridSpan w:val="2"/>
          </w:tcPr>
          <w:p w:rsidR="00575926" w:rsidRPr="009B5915" w:rsidRDefault="00575926" w:rsidP="009B5915">
            <w:pPr>
              <w:pStyle w:val="2"/>
              <w:shd w:val="clear" w:color="auto" w:fill="FFFFFF"/>
              <w:spacing w:before="0"/>
              <w:ind w:left="-120" w:right="-201"/>
              <w:jc w:val="center"/>
              <w:outlineLvl w:val="1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9B591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Другие на</w:t>
            </w:r>
            <w:r w:rsidR="009B5915" w:rsidRPr="009B591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у</w:t>
            </w:r>
            <w:r w:rsidRPr="009B591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 xml:space="preserve">чные </w:t>
            </w:r>
            <w:r w:rsidR="009B5915" w:rsidRPr="009B591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издания</w:t>
            </w:r>
          </w:p>
        </w:tc>
      </w:tr>
      <w:tr w:rsidR="00575926" w:rsidRPr="005962DE" w:rsidTr="009B5915">
        <w:tc>
          <w:tcPr>
            <w:tcW w:w="336" w:type="dxa"/>
          </w:tcPr>
          <w:p w:rsidR="00575926" w:rsidRPr="009B5915" w:rsidRDefault="00575926" w:rsidP="00434233">
            <w:pPr>
              <w:ind w:left="-120" w:right="-2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4233"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670" w:type="dxa"/>
          </w:tcPr>
          <w:p w:rsidR="00575926" w:rsidRPr="00FD7B94" w:rsidRDefault="00FD7B94" w:rsidP="005962D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D7B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Maldybayev G., Shayakhmetova R., Nurzhanova S., Sharipov R., Negim E.-S., Alimzhanova A. M., Osipov P., Mukhametzhanova A., Usman A.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D7B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Synthesis of chemical adsorbent for purification of heavy oil residue // International Journal of Technology. – 2024. – Vol.15. – P.</w:t>
            </w:r>
            <w:r w:rsidR="0059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D7B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792–802. –</w:t>
            </w:r>
            <w:r w:rsidRPr="0059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fldChar w:fldCharType="begin"/>
            </w:r>
            <w:r w:rsidRPr="0059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instrText xml:space="preserve"> HYPERLINK "https://doi.org/10.14716/ijtech.v15i3.6507" </w:instrText>
            </w:r>
            <w:r w:rsidRPr="0059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fldChar w:fldCharType="separate"/>
            </w:r>
            <w:r w:rsidRPr="005962DE">
              <w:rPr>
                <w:rStyle w:val="a4"/>
                <w:rFonts w:ascii="Times New Roman" w:eastAsia="Times New Roman" w:hAnsi="Times New Roman" w:cs="Times New Roman"/>
                <w:bCs/>
                <w:sz w:val="24"/>
                <w:szCs w:val="24"/>
                <w:u w:val="none"/>
                <w:lang w:val="kk-KZ" w:eastAsia="ru-RU"/>
              </w:rPr>
              <w:t>https://doi.org/10.14716/ijtech.v15i3.6507</w:t>
            </w:r>
            <w:r w:rsidRPr="0059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fldChar w:fldCharType="end"/>
            </w:r>
            <w:r w:rsidR="0065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 (категория: Engineering (miscellaneous)</w:t>
            </w:r>
            <w:bookmarkStart w:id="0" w:name="_GoBack"/>
            <w:bookmarkEnd w:id="0"/>
          </w:p>
        </w:tc>
      </w:tr>
      <w:tr w:rsidR="003153EE" w:rsidRPr="009D05CD" w:rsidTr="009B5915">
        <w:tc>
          <w:tcPr>
            <w:tcW w:w="336" w:type="dxa"/>
          </w:tcPr>
          <w:p w:rsidR="003153EE" w:rsidRPr="009B5915" w:rsidRDefault="003153EE" w:rsidP="00434233">
            <w:pPr>
              <w:ind w:left="-120" w:right="-2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4233"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670" w:type="dxa"/>
          </w:tcPr>
          <w:p w:rsidR="00FD7B94" w:rsidRPr="00FD7B94" w:rsidRDefault="00FD7B94" w:rsidP="00FD7B94">
            <w:pPr>
              <w:tabs>
                <w:tab w:val="num" w:pos="0"/>
                <w:tab w:val="left" w:pos="2713"/>
              </w:tabs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Алимжанова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А. М.,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Еремеева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Ж. В.,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Ножкина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А. В., Левина В. В., </w:t>
            </w:r>
            <w:proofErr w:type="spellStart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Ниткин</w:t>
            </w:r>
            <w:proofErr w:type="spellEnd"/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Н. М., Орлов В. Л.</w:t>
            </w:r>
          </w:p>
          <w:p w:rsidR="003153EE" w:rsidRPr="00FD7B94" w:rsidRDefault="00FD7B94" w:rsidP="005962DE">
            <w:pPr>
              <w:tabs>
                <w:tab w:val="num" w:pos="0"/>
                <w:tab w:val="left" w:pos="2713"/>
              </w:tabs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Влияние состава порошковой шихты на структуру и свойства твердого сплава Т15К6 // Известия Юго-Западного государственного университета. Серия: Техни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ка и технологии. – 2023. – Т. 13. </w:t>
            </w:r>
            <w:r w:rsidR="005962DE" w:rsidRPr="005962D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–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№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2. – С.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20–42. –</w:t>
            </w:r>
            <w:r w:rsidR="005962D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hyperlink r:id="rId19" w:history="1">
              <w:r w:rsidRPr="005962D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https://doi.org/10.21869/2223-1528-2023-13-2-20-42</w:t>
              </w:r>
            </w:hyperlink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</w:tr>
      <w:tr w:rsidR="00434233" w:rsidRPr="005962DE" w:rsidTr="009B5915">
        <w:tc>
          <w:tcPr>
            <w:tcW w:w="336" w:type="dxa"/>
          </w:tcPr>
          <w:p w:rsidR="00434233" w:rsidRPr="009B5915" w:rsidRDefault="00434233" w:rsidP="00434233">
            <w:pPr>
              <w:ind w:left="-120" w:right="-2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9670" w:type="dxa"/>
          </w:tcPr>
          <w:p w:rsidR="00FD7B94" w:rsidRPr="009C2CD3" w:rsidRDefault="00FD7B94" w:rsidP="00FD7B94">
            <w:pPr>
              <w:pBdr>
                <w:bottom w:val="single" w:sz="6" w:space="6" w:color="DCDCDC"/>
              </w:pBd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proofErr w:type="spellStart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Kapsalamova</w:t>
            </w:r>
            <w:proofErr w:type="spellEnd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F. R., </w:t>
            </w:r>
            <w:proofErr w:type="spellStart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Krasikov</w:t>
            </w:r>
            <w:proofErr w:type="spellEnd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S. A., </w:t>
            </w:r>
            <w:proofErr w:type="spellStart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Alimzhanova</w:t>
            </w:r>
            <w:proofErr w:type="spellEnd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A. M., </w:t>
            </w:r>
            <w:proofErr w:type="spellStart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Terlikbaeva</w:t>
            </w:r>
            <w:proofErr w:type="spellEnd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Zh</w:t>
            </w:r>
            <w:proofErr w:type="spellEnd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Zhilina</w:t>
            </w:r>
            <w:proofErr w:type="spellEnd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E. M.</w:t>
            </w:r>
          </w:p>
          <w:p w:rsidR="00434233" w:rsidRPr="00FD7B94" w:rsidRDefault="00FD7B94" w:rsidP="009B5915">
            <w:pPr>
              <w:pBdr>
                <w:bottom w:val="single" w:sz="6" w:space="6" w:color="DCDCDC"/>
              </w:pBdr>
              <w:shd w:val="clear" w:color="auto" w:fill="FFFFFF"/>
              <w:jc w:val="both"/>
              <w:rPr>
                <w:lang w:val="en-US"/>
              </w:rPr>
            </w:pPr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Thermochemical study of the formation of </w:t>
            </w:r>
            <w:proofErr w:type="spellStart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silicides</w:t>
            </w:r>
            <w:proofErr w:type="spellEnd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, borides and carbides in an Fe–Ni–Cr–Cu–Si–B–C alloy // Russian Metallurgy (</w:t>
            </w:r>
            <w:proofErr w:type="spellStart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Metally</w:t>
            </w:r>
            <w:proofErr w:type="spellEnd"/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). – 2023. – №</w:t>
            </w:r>
            <w:r w:rsidR="005962DE" w:rsidRP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8. – P.</w:t>
            </w:r>
            <w:r w:rsidR="005962DE" w:rsidRPr="005962D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Pr="009C2CD3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1081–1088</w:t>
            </w:r>
          </w:p>
        </w:tc>
      </w:tr>
      <w:tr w:rsidR="00F3153A" w:rsidRPr="005962DE" w:rsidTr="009B5915">
        <w:tc>
          <w:tcPr>
            <w:tcW w:w="336" w:type="dxa"/>
          </w:tcPr>
          <w:p w:rsidR="00F3153A" w:rsidRPr="00F3153A" w:rsidRDefault="00F3153A" w:rsidP="00434233">
            <w:pPr>
              <w:ind w:left="-120" w:right="-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70" w:type="dxa"/>
          </w:tcPr>
          <w:p w:rsidR="005962DE" w:rsidRDefault="00F3153A" w:rsidP="00FD7B94">
            <w:pPr>
              <w:pBdr>
                <w:bottom w:val="single" w:sz="6" w:space="6" w:color="DCDCDC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Omirserik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Baigenzhenov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Assel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Dagubayeva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Galymzhan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Maldybayev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Rustam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Sharipov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, Aliya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Alimzhanova</w:t>
            </w:r>
            <w:proofErr w:type="spellEnd"/>
            <w:r w:rsidRPr="00F3153A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. 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nvestigation into the leaching kinetics and mechanism of nickel extraction from asbestos tailings via nitric acid treatment // Central Asian transactions on materials structure and properties. – 2026. </w:t>
            </w:r>
            <w:r w:rsidR="008133AF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– </w:t>
            </w:r>
            <w:r w:rsidR="00813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Vol.</w:t>
            </w:r>
            <w:r w:rsidR="00FA2B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813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="008133AF" w:rsidRPr="00FD7B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="00813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813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– P.</w:t>
            </w:r>
            <w:r w:rsidR="0059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813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19</w:t>
            </w:r>
            <w:r w:rsidR="00813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–</w:t>
            </w:r>
            <w:r w:rsidR="00813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35</w:t>
            </w:r>
            <w:r w:rsidR="008133AF" w:rsidRPr="00FD7B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. </w:t>
            </w:r>
            <w:r w:rsidR="0065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(Категория: И</w:t>
            </w:r>
            <w:r w:rsidR="0065774F" w:rsidRPr="0065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нженерии материалов</w:t>
            </w:r>
            <w:r w:rsidR="0065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</w:p>
          <w:p w:rsidR="00F3153A" w:rsidRPr="00F3153A" w:rsidRDefault="008133AF" w:rsidP="00FD7B94">
            <w:pPr>
              <w:pBdr>
                <w:bottom w:val="single" w:sz="6" w:space="6" w:color="DCDCDC"/>
              </w:pBd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FD7B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hyperlink r:id="rId20" w:history="1">
              <w:r w:rsidRPr="005962D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u w:val="none"/>
                  <w:lang w:val="en-US" w:eastAsia="ru-RU"/>
                </w:rPr>
                <w:t>https://doi.org/10.51885/3134-7983_CATMSP_2026_2_2</w:t>
              </w:r>
            </w:hyperlink>
            <w:r w:rsidRPr="0059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4615C" w:rsidRPr="008133AF" w:rsidTr="003115CA">
        <w:tc>
          <w:tcPr>
            <w:tcW w:w="10006" w:type="dxa"/>
            <w:gridSpan w:val="2"/>
          </w:tcPr>
          <w:p w:rsidR="0004615C" w:rsidRDefault="0004615C" w:rsidP="0004615C">
            <w:pPr>
              <w:pBdr>
                <w:bottom w:val="single" w:sz="6" w:space="6" w:color="DCDCDC"/>
              </w:pBdr>
              <w:shd w:val="clear" w:color="auto" w:fill="FFFFFF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B59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Монография</w:t>
            </w:r>
          </w:p>
        </w:tc>
      </w:tr>
      <w:tr w:rsidR="0004615C" w:rsidRPr="008133AF" w:rsidTr="009B5915">
        <w:tc>
          <w:tcPr>
            <w:tcW w:w="336" w:type="dxa"/>
          </w:tcPr>
          <w:p w:rsidR="0004615C" w:rsidRDefault="0004615C" w:rsidP="0004615C">
            <w:pPr>
              <w:ind w:left="-120" w:right="-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670" w:type="dxa"/>
          </w:tcPr>
          <w:p w:rsidR="0004615C" w:rsidRDefault="0004615C" w:rsidP="0004615C">
            <w:pPr>
              <w:pBdr>
                <w:bottom w:val="single" w:sz="6" w:space="6" w:color="DCDCDC"/>
              </w:pBd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FD7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Алимжанова</w:t>
            </w:r>
            <w:proofErr w:type="spellEnd"/>
            <w:r w:rsidRPr="00FD7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7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мелкозернистых твердых сплавов с повышенными эксплуатационными параметрами: монография. – Алматы: ADAL KITAP, 2026.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 с. – ISBN 978-601-384-467-1</w:t>
            </w:r>
          </w:p>
        </w:tc>
      </w:tr>
    </w:tbl>
    <w:p w:rsidR="00794898" w:rsidRDefault="00794898" w:rsidP="007948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15C" w:rsidRDefault="0004615C" w:rsidP="007948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15C" w:rsidRPr="00F3153A" w:rsidRDefault="0004615C" w:rsidP="000461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Претендент                                                                                 А.М. Алимжанова     </w:t>
      </w:r>
    </w:p>
    <w:sectPr w:rsidR="0004615C" w:rsidRPr="00F3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11"/>
    <w:rsid w:val="0004615C"/>
    <w:rsid w:val="00065A21"/>
    <w:rsid w:val="000A2DF6"/>
    <w:rsid w:val="003153EE"/>
    <w:rsid w:val="00434233"/>
    <w:rsid w:val="00575926"/>
    <w:rsid w:val="00592671"/>
    <w:rsid w:val="0059307F"/>
    <w:rsid w:val="005962DE"/>
    <w:rsid w:val="0065774F"/>
    <w:rsid w:val="00794898"/>
    <w:rsid w:val="007A6BC9"/>
    <w:rsid w:val="008133AF"/>
    <w:rsid w:val="008627C0"/>
    <w:rsid w:val="0086344D"/>
    <w:rsid w:val="008F5A75"/>
    <w:rsid w:val="00961A65"/>
    <w:rsid w:val="0097485F"/>
    <w:rsid w:val="009B5915"/>
    <w:rsid w:val="009C2CD3"/>
    <w:rsid w:val="009D05CD"/>
    <w:rsid w:val="00B44111"/>
    <w:rsid w:val="00BB6403"/>
    <w:rsid w:val="00C438ED"/>
    <w:rsid w:val="00F3153A"/>
    <w:rsid w:val="00FA2BDB"/>
    <w:rsid w:val="00F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D4A7"/>
  <w15:chartTrackingRefBased/>
  <w15:docId w15:val="{B7B81A47-8559-4C5F-9558-F4C20953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5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65A2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65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15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1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3EE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9B5915"/>
    <w:rPr>
      <w:i/>
      <w:iCs/>
    </w:rPr>
  </w:style>
  <w:style w:type="character" w:customStyle="1" w:styleId="typography-modulelvnit">
    <w:name w:val="typography-module__lvnit"/>
    <w:basedOn w:val="a0"/>
    <w:rsid w:val="009B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et12122144" TargetMode="External"/><Relationship Id="rId13" Type="http://schemas.openxmlformats.org/officeDocument/2006/relationships/hyperlink" Target="https://doi.org/10.36547/ams.31.3.2238" TargetMode="External"/><Relationship Id="rId18" Type="http://schemas.openxmlformats.org/officeDocument/2006/relationships/hyperlink" Target="https://doi.org/10.51301/ejsu.2025.i2.0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3390/met12122144" TargetMode="External"/><Relationship Id="rId12" Type="http://schemas.openxmlformats.org/officeDocument/2006/relationships/hyperlink" Target="https://doi.org/10.1016/j.cscee.2024.100964" TargetMode="External"/><Relationship Id="rId17" Type="http://schemas.openxmlformats.org/officeDocument/2006/relationships/hyperlink" Target="https://doi.org/10.51301/ejsu.2023.i3/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48081/CTWE8923" TargetMode="External"/><Relationship Id="rId20" Type="http://schemas.openxmlformats.org/officeDocument/2006/relationships/hyperlink" Target="https://doi.org/10.51885/3134-7983_CATMSP_2026_2_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390/met12122144" TargetMode="External"/><Relationship Id="rId11" Type="http://schemas.openxmlformats.org/officeDocument/2006/relationships/hyperlink" Target="https://doi.org/10.3390/met12122144" TargetMode="External"/><Relationship Id="rId5" Type="http://schemas.openxmlformats.org/officeDocument/2006/relationships/hyperlink" Target="https://doi.org/10.3390/met12122144" TargetMode="External"/><Relationship Id="rId15" Type="http://schemas.openxmlformats.org/officeDocument/2006/relationships/hyperlink" Target="https://doi.org/10.1007/s11015-021-01122-z" TargetMode="External"/><Relationship Id="rId10" Type="http://schemas.openxmlformats.org/officeDocument/2006/relationships/hyperlink" Target="https://doi.org/10.3390/met12122144" TargetMode="External"/><Relationship Id="rId19" Type="http://schemas.openxmlformats.org/officeDocument/2006/relationships/hyperlink" Target="https://doi.org/10.21869/2223-1528-2023-13-2-20-42" TargetMode="External"/><Relationship Id="rId4" Type="http://schemas.openxmlformats.org/officeDocument/2006/relationships/hyperlink" Target="https://doi.org/10.3390/met12122144" TargetMode="External"/><Relationship Id="rId9" Type="http://schemas.openxmlformats.org/officeDocument/2006/relationships/hyperlink" Target="https://doi.org/10.3390/met12122144" TargetMode="External"/><Relationship Id="rId14" Type="http://schemas.openxmlformats.org/officeDocument/2006/relationships/hyperlink" Target="https://doi.org/10.1016/j.heliyon.2024.e249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2026-07-10T10:54:00Z</cp:lastPrinted>
  <dcterms:created xsi:type="dcterms:W3CDTF">2026-03-06T05:21:00Z</dcterms:created>
  <dcterms:modified xsi:type="dcterms:W3CDTF">2026-07-10T10:55:00Z</dcterms:modified>
</cp:coreProperties>
</file>